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3F" w:rsidRPr="00137C39" w:rsidRDefault="00A2163F" w:rsidP="00137C39">
      <w:pPr>
        <w:pStyle w:val="Body11"/>
        <w:tabs>
          <w:tab w:val="left" w:pos="720"/>
        </w:tabs>
        <w:spacing w:after="0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B6068E" w:rsidRPr="00137C39" w:rsidRDefault="00565E8D" w:rsidP="00137C39">
      <w:pPr>
        <w:pStyle w:val="Body11"/>
        <w:tabs>
          <w:tab w:val="left" w:pos="720"/>
        </w:tabs>
        <w:spacing w:after="0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7C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Stark </w:t>
      </w:r>
      <w:r w:rsidR="00137C39" w:rsidRPr="00137C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Law </w:t>
      </w:r>
      <w:r w:rsidRPr="00137C39">
        <w:rPr>
          <w:rFonts w:ascii="Times New Roman" w:hAnsi="Times New Roman" w:cs="Times New Roman"/>
          <w:b/>
          <w:color w:val="auto"/>
          <w:sz w:val="28"/>
          <w:szCs w:val="28"/>
        </w:rPr>
        <w:t>Audit Steps</w:t>
      </w:r>
    </w:p>
    <w:p w:rsidR="00137C39" w:rsidRPr="00137C39" w:rsidRDefault="00137C39" w:rsidP="00137C39">
      <w:pPr>
        <w:pStyle w:val="Body11"/>
        <w:tabs>
          <w:tab w:val="left" w:pos="720"/>
        </w:tabs>
        <w:spacing w:after="0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6068E" w:rsidRPr="00137C39" w:rsidRDefault="00B6068E" w:rsidP="00137C39">
      <w:pPr>
        <w:pStyle w:val="Body11"/>
        <w:tabs>
          <w:tab w:val="left" w:pos="720"/>
        </w:tabs>
        <w:spacing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Define the objectives, scope</w:t>
      </w:r>
      <w:r w:rsidR="00137C39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parameters of the Stark </w:t>
      </w:r>
      <w:r w:rsidR="00137C39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Law </w:t>
      </w: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audit.</w:t>
      </w:r>
    </w:p>
    <w:p w:rsidR="00137C39" w:rsidRPr="00137C39" w:rsidRDefault="00137C39" w:rsidP="00137C39">
      <w:pPr>
        <w:pStyle w:val="Body11"/>
        <w:spacing w:after="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Develop an audit checklist to address regulatory issues for each a</w:t>
      </w:r>
      <w:r w:rsidR="00074794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pplicable Stark Law exception.</w:t>
      </w:r>
    </w:p>
    <w:p w:rsidR="00137C39" w:rsidRPr="00137C39" w:rsidRDefault="00137C39" w:rsidP="00137C39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Compile a list of all existing financial arrangeme</w:t>
      </w:r>
      <w:r w:rsidR="00074794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nts with referring physicians.</w:t>
      </w:r>
    </w:p>
    <w:p w:rsidR="00137C39" w:rsidRPr="00137C39" w:rsidRDefault="00137C39" w:rsidP="00137C39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Request the existing documentation for each of the identified financial arrangements, including all applicable supporting information (e.g., agreements, amendments, related policies, and documentation supporting </w:t>
      </w:r>
      <w:r w:rsidR="00137C39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fair market value</w:t>
      </w: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C39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[FMV] </w:t>
      </w: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74794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nd commercial reasonableness).</w:t>
      </w:r>
    </w:p>
    <w:p w:rsidR="00137C39" w:rsidRPr="00137C39" w:rsidRDefault="00137C39" w:rsidP="00137C39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Interview the executives and individuals involved in the development, implementation and monitoring of financial arrangeme</w:t>
      </w:r>
      <w:r w:rsidR="00074794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nts with referring physicians.</w:t>
      </w:r>
    </w:p>
    <w:p w:rsidR="00137C39" w:rsidRPr="00137C39" w:rsidRDefault="00137C39" w:rsidP="00137C39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Review and analyze each identified financial arrangement against the </w:t>
      </w:r>
      <w:r w:rsidR="00074794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applicable audit checklist(s).</w:t>
      </w:r>
    </w:p>
    <w:p w:rsidR="00137C39" w:rsidRPr="00137C39" w:rsidRDefault="00137C39" w:rsidP="00137C39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Evaluate each identified financial arrangement for technical complia</w:t>
      </w:r>
      <w:r w:rsidR="00074794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nce with the Stark</w:t>
      </w:r>
      <w:r w:rsidR="00137C39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Law</w:t>
      </w:r>
      <w:r w:rsidR="00074794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exceptions.</w:t>
      </w: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7C39" w:rsidRPr="00137C39" w:rsidRDefault="00137C39" w:rsidP="00137C39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Evaluate the key tenets of defensibility: FMV, commercial reasonableness, and the prohibition on taking into account referrals.</w:t>
      </w:r>
    </w:p>
    <w:p w:rsidR="00137C39" w:rsidRPr="00137C39" w:rsidRDefault="00137C39" w:rsidP="00137C39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Identify action items to remedy any potentially non-com</w:t>
      </w:r>
      <w:r w:rsidR="00074794" w:rsidRPr="00137C39">
        <w:rPr>
          <w:rFonts w:ascii="Times New Roman" w:hAnsi="Times New Roman" w:cs="Times New Roman"/>
          <w:color w:val="000000" w:themeColor="text1"/>
          <w:sz w:val="28"/>
          <w:szCs w:val="28"/>
        </w:rPr>
        <w:t>pliant financial arrangements.</w:t>
      </w:r>
    </w:p>
    <w:p w:rsidR="00137C39" w:rsidRPr="00137C39" w:rsidRDefault="00137C39" w:rsidP="00137C39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68E" w:rsidRPr="00AF3552" w:rsidRDefault="00565E8D" w:rsidP="00137C39">
      <w:pPr>
        <w:pStyle w:val="Body11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</w:t>
      </w:r>
      <w:r w:rsidR="00A2163F" w:rsidRPr="00137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137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evaluate processes for development, implementation and monitoring of financial arrangements with referring physic</w:t>
      </w:r>
      <w:r w:rsidR="00074794" w:rsidRPr="00137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ians.</w:t>
      </w:r>
    </w:p>
    <w:p w:rsidR="00AF3552" w:rsidRDefault="00AF3552" w:rsidP="00AF3552">
      <w:pPr>
        <w:pStyle w:val="ListParagraph"/>
        <w:rPr>
          <w:rFonts w:cs="Times New Roman"/>
          <w:color w:val="000000" w:themeColor="text1"/>
          <w:sz w:val="28"/>
          <w:szCs w:val="28"/>
        </w:rPr>
      </w:pPr>
    </w:p>
    <w:p w:rsidR="00AF3552" w:rsidRDefault="00AF3552" w:rsidP="00AF3552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552" w:rsidRPr="00AF3552" w:rsidRDefault="00AF3552" w:rsidP="00AF3552">
      <w:pPr>
        <w:pStyle w:val="Body11"/>
        <w:tabs>
          <w:tab w:val="left" w:pos="720"/>
        </w:tabs>
        <w:spacing w:after="0" w:line="360" w:lineRule="auto"/>
        <w:contextualSpacing/>
        <w:rPr>
          <w:rFonts w:ascii="Times New Roman" w:hAnsi="Times New Roman" w:cs="Times New Roman"/>
          <w:sz w:val="24"/>
        </w:rPr>
      </w:pPr>
      <w:r w:rsidRPr="00AF3552">
        <w:rPr>
          <w:rFonts w:ascii="Times New Roman" w:hAnsi="Times New Roman" w:cs="Times New Roman"/>
          <w:i/>
          <w:color w:val="000000" w:themeColor="text1"/>
          <w:sz w:val="24"/>
        </w:rPr>
        <w:t>Source</w:t>
      </w:r>
      <w:r w:rsidRPr="00AF3552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hyperlink r:id="rId7" w:history="1"/>
      <w:r w:rsidRPr="00AF3552">
        <w:rPr>
          <w:rFonts w:ascii="Times New Roman" w:hAnsi="Times New Roman" w:cs="Times New Roman"/>
          <w:sz w:val="24"/>
        </w:rPr>
        <w:t xml:space="preserve">Joseph N. Wolfe, </w:t>
      </w:r>
      <w:r w:rsidRPr="00AF3552">
        <w:rPr>
          <w:rFonts w:ascii="Times New Roman" w:hAnsi="Times New Roman" w:cs="Times New Roman"/>
          <w:sz w:val="24"/>
        </w:rPr>
        <w:t>Hall, Render, Killian, Heath &amp; Lyman, PC</w:t>
      </w:r>
      <w:r w:rsidRPr="00AF3552">
        <w:rPr>
          <w:rFonts w:ascii="Times New Roman" w:hAnsi="Times New Roman" w:cs="Times New Roman"/>
          <w:sz w:val="24"/>
        </w:rPr>
        <w:t>. Used with permission.</w:t>
      </w:r>
    </w:p>
    <w:p w:rsidR="00AF3552" w:rsidRPr="00137C39" w:rsidRDefault="00AF3552" w:rsidP="00AF3552">
      <w:pPr>
        <w:pStyle w:val="Body1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F3552" w:rsidRPr="00137C39" w:rsidSect="008519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E8D" w:rsidRDefault="00565E8D">
      <w:pPr>
        <w:spacing w:after="0" w:line="240" w:lineRule="auto"/>
      </w:pPr>
      <w:r>
        <w:separator/>
      </w:r>
    </w:p>
  </w:endnote>
  <w:endnote w:type="continuationSeparator" w:id="0">
    <w:p w:rsidR="00565E8D" w:rsidRDefault="0056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8D" w:rsidRDefault="00565E8D">
      <w:pPr>
        <w:spacing w:after="0" w:line="240" w:lineRule="auto"/>
      </w:pPr>
      <w:r>
        <w:separator/>
      </w:r>
    </w:p>
  </w:footnote>
  <w:footnote w:type="continuationSeparator" w:id="0">
    <w:p w:rsidR="00565E8D" w:rsidRDefault="0056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8E" w:rsidRDefault="00384090">
    <w:pPr>
      <w:pStyle w:val="Header"/>
    </w:pPr>
    <w:r>
      <w:t>An HFMA Forums Tool (hfma.org/forums)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986"/>
    <w:multiLevelType w:val="hybridMultilevel"/>
    <w:tmpl w:val="F51E48DC"/>
    <w:lvl w:ilvl="0" w:tplc="9AB80C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6B1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C82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2BF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A4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0EE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871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6E3E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4F7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DA5992"/>
    <w:multiLevelType w:val="hybridMultilevel"/>
    <w:tmpl w:val="17A0D54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6068E"/>
    <w:rsid w:val="00054CCF"/>
    <w:rsid w:val="00074794"/>
    <w:rsid w:val="00137C39"/>
    <w:rsid w:val="00167B38"/>
    <w:rsid w:val="00384090"/>
    <w:rsid w:val="00565E8D"/>
    <w:rsid w:val="00674F51"/>
    <w:rsid w:val="006E67AF"/>
    <w:rsid w:val="00783813"/>
    <w:rsid w:val="0085195F"/>
    <w:rsid w:val="00A2163F"/>
    <w:rsid w:val="00AF3552"/>
    <w:rsid w:val="00B34CE0"/>
    <w:rsid w:val="00B6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doni MT" w:eastAsiaTheme="minorHAnsi" w:hAnsi="Bodoni MT" w:cs="Helvetica"/>
        <w:iCs/>
        <w:color w:val="444444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5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519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5195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u w:val="single"/>
    </w:rPr>
  </w:style>
  <w:style w:type="paragraph" w:customStyle="1" w:styleId="Body11">
    <w:name w:val="Body 11"/>
    <w:basedOn w:val="Normal"/>
    <w:qFormat/>
    <w:rsid w:val="0085195F"/>
    <w:pPr>
      <w:widowControl w:val="0"/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Arial" w:eastAsia="MS Mincho" w:hAnsi="Arial" w:cs="Arial"/>
      <w:iCs w:val="0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95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5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95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137C39"/>
    <w:pPr>
      <w:ind w:left="720"/>
      <w:contextualSpacing/>
    </w:pPr>
  </w:style>
  <w:style w:type="character" w:styleId="Hyperlink">
    <w:name w:val="Hyperlink"/>
    <w:uiPriority w:val="99"/>
    <w:unhideWhenUsed/>
    <w:rsid w:val="00AF35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wolfe@hallrend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Showalter</dc:creator>
  <cp:lastModifiedBy>bhintch</cp:lastModifiedBy>
  <cp:revision>8</cp:revision>
  <cp:lastPrinted>2017-04-05T15:10:00Z</cp:lastPrinted>
  <dcterms:created xsi:type="dcterms:W3CDTF">2017-04-28T11:23:00Z</dcterms:created>
  <dcterms:modified xsi:type="dcterms:W3CDTF">2017-05-03T17:44:00Z</dcterms:modified>
</cp:coreProperties>
</file>