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01D" w:rsidRDefault="001D301D" w:rsidP="001D301D">
      <w:pPr>
        <w:pStyle w:val="Heading1"/>
        <w:spacing w:before="0" w:after="240" w:line="240" w:lineRule="auto"/>
        <w:rPr>
          <w:rFonts w:asciiTheme="minorHAnsi" w:hAnsiTheme="minorHAnsi" w:cstheme="minorHAnsi"/>
          <w:color w:val="auto"/>
        </w:rPr>
      </w:pPr>
    </w:p>
    <w:p w:rsidR="001D301D" w:rsidRPr="001D301D" w:rsidRDefault="0069094A" w:rsidP="001D301D">
      <w:pPr>
        <w:pStyle w:val="Heading1"/>
        <w:spacing w:before="0" w:after="240" w:line="240" w:lineRule="auto"/>
        <w:rPr>
          <w:rFonts w:asciiTheme="minorHAnsi" w:hAnsiTheme="minorHAnsi" w:cstheme="minorHAnsi"/>
          <w:color w:val="auto"/>
        </w:rPr>
      </w:pPr>
      <w:r w:rsidRPr="001D301D">
        <w:rPr>
          <w:rFonts w:asciiTheme="minorHAnsi" w:hAnsiTheme="minorHAnsi" w:cstheme="minorHAnsi"/>
          <w:color w:val="auto"/>
        </w:rPr>
        <w:t xml:space="preserve">Checklist: </w:t>
      </w:r>
      <w:r w:rsidR="001B343D" w:rsidRPr="001D301D">
        <w:rPr>
          <w:rFonts w:asciiTheme="minorHAnsi" w:hAnsiTheme="minorHAnsi" w:cstheme="minorHAnsi"/>
          <w:color w:val="auto"/>
        </w:rPr>
        <w:t>Board Oversight</w:t>
      </w:r>
      <w:r w:rsidRPr="001D301D">
        <w:rPr>
          <w:rFonts w:asciiTheme="minorHAnsi" w:hAnsiTheme="minorHAnsi" w:cstheme="minorHAnsi"/>
          <w:color w:val="auto"/>
        </w:rPr>
        <w:t xml:space="preserve"> of the Healthcare Compliance Function</w:t>
      </w:r>
    </w:p>
    <w:p w:rsidR="001B343D" w:rsidRPr="001D301D" w:rsidRDefault="001D301D" w:rsidP="00432129">
      <w:pPr>
        <w:spacing w:line="240" w:lineRule="auto"/>
        <w:rPr>
          <w:rFonts w:cstheme="minorHAnsi"/>
          <w:szCs w:val="24"/>
        </w:rPr>
      </w:pPr>
      <w:r>
        <w:rPr>
          <w:rFonts w:cstheme="minorHAnsi"/>
          <w:szCs w:val="24"/>
        </w:rPr>
        <w:t xml:space="preserve">According to the April 2015 report </w:t>
      </w:r>
      <w:r w:rsidRPr="001D301D">
        <w:rPr>
          <w:rFonts w:cstheme="minorHAnsi"/>
          <w:i/>
          <w:szCs w:val="24"/>
        </w:rPr>
        <w:t>Practical Guidance for Health Care Governing Boards on Compliance Oversight</w:t>
      </w:r>
      <w:r>
        <w:rPr>
          <w:rFonts w:cstheme="minorHAnsi"/>
          <w:szCs w:val="24"/>
        </w:rPr>
        <w:t xml:space="preserve">, </w:t>
      </w:r>
      <w:r w:rsidR="001B343D" w:rsidRPr="001D301D">
        <w:rPr>
          <w:rFonts w:cstheme="minorHAnsi"/>
          <w:szCs w:val="24"/>
        </w:rPr>
        <w:t xml:space="preserve">a board “must act in good faith in the exercise of its oversight responsibility … including making inquiries to ensure: (1) a corporate information and reporting system exists and (2) the reporting system is adequate to assure the Board that appropriate information … will come to its attention timely and as a matter of course.” </w:t>
      </w:r>
    </w:p>
    <w:p w:rsidR="001B343D" w:rsidRDefault="001D301D" w:rsidP="00432129">
      <w:pPr>
        <w:spacing w:line="240" w:lineRule="auto"/>
        <w:rPr>
          <w:rFonts w:cstheme="minorHAnsi"/>
          <w:szCs w:val="24"/>
        </w:rPr>
      </w:pPr>
      <w:r>
        <w:rPr>
          <w:rFonts w:cstheme="minorHAnsi"/>
          <w:szCs w:val="24"/>
        </w:rPr>
        <w:t xml:space="preserve">The report provides these specific recommendations. </w:t>
      </w:r>
    </w:p>
    <w:p w:rsidR="001D301D" w:rsidRPr="001D301D" w:rsidRDefault="001D301D" w:rsidP="00432129">
      <w:pPr>
        <w:spacing w:line="240" w:lineRule="auto"/>
        <w:rPr>
          <w:rFonts w:cstheme="minorHAnsi"/>
          <w:szCs w:val="24"/>
        </w:rPr>
      </w:pPr>
    </w:p>
    <w:tbl>
      <w:tblPr>
        <w:tblStyle w:val="TableGrid"/>
        <w:tblW w:w="0" w:type="auto"/>
        <w:tblLook w:val="04A0"/>
      </w:tblPr>
      <w:tblGrid>
        <w:gridCol w:w="1278"/>
        <w:gridCol w:w="8298"/>
      </w:tblGrid>
      <w:tr w:rsidR="001D301D" w:rsidRPr="001D301D" w:rsidTr="001D301D">
        <w:tc>
          <w:tcPr>
            <w:tcW w:w="1278" w:type="dxa"/>
          </w:tcPr>
          <w:p w:rsidR="001D301D" w:rsidRPr="001D301D" w:rsidRDefault="001D301D" w:rsidP="001D301D">
            <w:pPr>
              <w:jc w:val="center"/>
              <w:rPr>
                <w:rFonts w:cstheme="minorHAnsi"/>
                <w:b/>
                <w:sz w:val="24"/>
                <w:szCs w:val="24"/>
              </w:rPr>
            </w:pPr>
            <w:r w:rsidRPr="001D301D">
              <w:rPr>
                <w:rFonts w:cstheme="minorHAnsi"/>
                <w:b/>
                <w:sz w:val="24"/>
                <w:szCs w:val="24"/>
              </w:rPr>
              <w:t>√</w:t>
            </w:r>
          </w:p>
        </w:tc>
        <w:tc>
          <w:tcPr>
            <w:tcW w:w="8298" w:type="dxa"/>
          </w:tcPr>
          <w:p w:rsidR="001D301D" w:rsidRPr="001D301D" w:rsidRDefault="001D301D" w:rsidP="002830A1">
            <w:pPr>
              <w:rPr>
                <w:rFonts w:cstheme="minorHAnsi"/>
                <w:b/>
                <w:sz w:val="24"/>
                <w:szCs w:val="24"/>
              </w:rPr>
            </w:pPr>
            <w:r w:rsidRPr="001D301D">
              <w:rPr>
                <w:rFonts w:cstheme="minorHAnsi"/>
                <w:b/>
                <w:sz w:val="24"/>
                <w:szCs w:val="24"/>
              </w:rPr>
              <w:t xml:space="preserve">Recommendation </w:t>
            </w:r>
          </w:p>
          <w:p w:rsidR="001D301D" w:rsidRPr="001D301D" w:rsidRDefault="001D301D" w:rsidP="002830A1">
            <w:pPr>
              <w:rPr>
                <w:rFonts w:cstheme="minorHAnsi"/>
                <w:b/>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 xml:space="preserve">Use public compliance resources, such as the Federal Sentencing Guidelines (Guidelines), OIG’s voluntary compliance program guidance documents, and OIG Corporate Integrity Agreements. </w:t>
            </w:r>
          </w:p>
          <w:p w:rsidR="001D301D" w:rsidRPr="001D301D" w:rsidRDefault="001D301D" w:rsidP="001D301D">
            <w:pPr>
              <w:pStyle w:val="ListParagraph"/>
              <w:numPr>
                <w:ilvl w:val="0"/>
                <w:numId w:val="4"/>
              </w:numPr>
              <w:ind w:left="882"/>
              <w:rPr>
                <w:rFonts w:cstheme="minorHAnsi"/>
                <w:sz w:val="24"/>
                <w:szCs w:val="24"/>
              </w:rPr>
            </w:pPr>
            <w:r w:rsidRPr="001D301D">
              <w:rPr>
                <w:rFonts w:cstheme="minorHAnsi"/>
                <w:sz w:val="24"/>
                <w:szCs w:val="24"/>
              </w:rPr>
              <w:t xml:space="preserve">A wealth of compliance information can be found at on the OIG’s </w:t>
            </w:r>
            <w:hyperlink r:id="rId7" w:history="1">
              <w:r w:rsidRPr="001D301D">
                <w:rPr>
                  <w:rStyle w:val="Hyperlink"/>
                  <w:rFonts w:cstheme="minorHAnsi"/>
                  <w:sz w:val="24"/>
                  <w:szCs w:val="24"/>
                </w:rPr>
                <w:t>compliance page</w:t>
              </w:r>
            </w:hyperlink>
            <w:r w:rsidRPr="001D301D">
              <w:rPr>
                <w:rFonts w:cstheme="minorHAnsi"/>
                <w:sz w:val="24"/>
                <w:szCs w:val="24"/>
              </w:rPr>
              <w:t xml:space="preserve">, and the Federal Sentencing Guidelines are published by the </w:t>
            </w:r>
            <w:hyperlink r:id="rId8" w:history="1">
              <w:r w:rsidRPr="001D301D">
                <w:rPr>
                  <w:rStyle w:val="Hyperlink"/>
                  <w:rFonts w:cstheme="minorHAnsi"/>
                  <w:sz w:val="24"/>
                  <w:szCs w:val="24"/>
                </w:rPr>
                <w:t>U.S. Sentencing Commission</w:t>
              </w:r>
            </w:hyperlink>
            <w:r w:rsidRPr="001D301D">
              <w:rPr>
                <w:rFonts w:cstheme="minorHAnsi"/>
                <w:sz w:val="24"/>
                <w:szCs w:val="24"/>
              </w:rPr>
              <w:t xml:space="preserve">.  </w:t>
            </w:r>
          </w:p>
          <w:p w:rsidR="001D301D" w:rsidRPr="001D301D" w:rsidRDefault="001D301D" w:rsidP="002830A1">
            <w:pPr>
              <w:rPr>
                <w:rFonts w:cstheme="minorHAnsi"/>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Default="001D301D" w:rsidP="001D301D">
            <w:pPr>
              <w:jc w:val="center"/>
              <w:rPr>
                <w:rFonts w:cstheme="minorHAnsi"/>
                <w:sz w:val="24"/>
                <w:szCs w:val="24"/>
              </w:rPr>
            </w:pPr>
            <w:r w:rsidRPr="001D301D">
              <w:rPr>
                <w:rFonts w:cstheme="minorHAnsi"/>
                <w:sz w:val="24"/>
                <w:szCs w:val="24"/>
              </w:rPr>
              <w:t>___</w:t>
            </w:r>
          </w:p>
          <w:p w:rsidR="001D301D" w:rsidRPr="001D301D" w:rsidRDefault="001D301D" w:rsidP="001D301D">
            <w:pPr>
              <w:jc w:val="center"/>
              <w:rPr>
                <w:rFonts w:cstheme="minorHAnsi"/>
                <w:sz w:val="24"/>
                <w:szCs w:val="24"/>
              </w:rPr>
            </w:pPr>
          </w:p>
        </w:tc>
        <w:tc>
          <w:tcPr>
            <w:tcW w:w="8298" w:type="dxa"/>
          </w:tcPr>
          <w:p w:rsidR="001D301D" w:rsidRPr="001D301D" w:rsidRDefault="001D301D" w:rsidP="001D301D">
            <w:pPr>
              <w:rPr>
                <w:rFonts w:cstheme="minorHAnsi"/>
                <w:sz w:val="24"/>
                <w:szCs w:val="24"/>
              </w:rPr>
            </w:pPr>
            <w:r w:rsidRPr="001D301D">
              <w:rPr>
                <w:rFonts w:cstheme="minorHAnsi"/>
                <w:sz w:val="24"/>
                <w:szCs w:val="24"/>
              </w:rPr>
              <w:t>Put forth a meaningful effort to review the adequacy of existing compliance systems and functions and ensure that hospital management is aware of the resources listed above.</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 xml:space="preserve">Develop a </w:t>
            </w:r>
            <w:r w:rsidRPr="001D301D">
              <w:rPr>
                <w:rFonts w:cstheme="minorHAnsi"/>
                <w:i/>
                <w:sz w:val="24"/>
                <w:szCs w:val="24"/>
              </w:rPr>
              <w:t>formal plan</w:t>
            </w:r>
            <w:r w:rsidRPr="001D301D">
              <w:rPr>
                <w:rFonts w:cstheme="minorHAnsi"/>
                <w:sz w:val="24"/>
                <w:szCs w:val="24"/>
              </w:rPr>
              <w:t xml:space="preserve"> to stay abreast of the ever-changing regulatory landscape and operating environment.</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With respect to regulatory and compliance matters, raise the level of substantive expertise by adding to the board, or periodically consulti</w:t>
            </w:r>
            <w:r>
              <w:rPr>
                <w:rFonts w:cstheme="minorHAnsi"/>
                <w:sz w:val="24"/>
                <w:szCs w:val="24"/>
              </w:rPr>
              <w:t>ng with,</w:t>
            </w:r>
            <w:r w:rsidRPr="001D301D">
              <w:rPr>
                <w:rFonts w:cstheme="minorHAnsi"/>
                <w:sz w:val="24"/>
                <w:szCs w:val="24"/>
              </w:rPr>
              <w:t xml:space="preserve"> an experienced regulatory, compliance, or legal professional.</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In charters or other organizational documents, define the interrelationship of and draw functional boundaries for the audit, compliance, and legal functions.</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Set and enforce clear expectations for receiving particular types of compliance-related information from various members of management.</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Default="001D301D" w:rsidP="001D301D">
            <w:pPr>
              <w:rPr>
                <w:rFonts w:cstheme="minorHAnsi"/>
                <w:sz w:val="24"/>
                <w:szCs w:val="24"/>
              </w:rPr>
            </w:pPr>
            <w:r w:rsidRPr="001D301D">
              <w:rPr>
                <w:rFonts w:cstheme="minorHAnsi"/>
                <w:sz w:val="24"/>
                <w:szCs w:val="24"/>
              </w:rPr>
              <w:t xml:space="preserve">Consider conducting routine “executive sessions” — i.e., excluding senior management — with leaders of the compliance, legal, internal audit, and quality functions to encourage more open communication about the status of the compliance program and any related issues. </w:t>
            </w:r>
          </w:p>
          <w:p w:rsidR="001D301D" w:rsidRDefault="001D301D" w:rsidP="001D301D">
            <w:pPr>
              <w:rPr>
                <w:rFonts w:cstheme="minorHAnsi"/>
                <w:sz w:val="24"/>
                <w:szCs w:val="24"/>
              </w:rPr>
            </w:pPr>
          </w:p>
          <w:p w:rsidR="001D301D" w:rsidRPr="001D301D" w:rsidRDefault="001D301D" w:rsidP="001D301D">
            <w:pPr>
              <w:pStyle w:val="ListParagraph"/>
              <w:numPr>
                <w:ilvl w:val="0"/>
                <w:numId w:val="4"/>
              </w:numPr>
              <w:rPr>
                <w:rFonts w:cstheme="minorHAnsi"/>
                <w:sz w:val="24"/>
                <w:szCs w:val="24"/>
              </w:rPr>
            </w:pPr>
            <w:r w:rsidRPr="001D301D">
              <w:rPr>
                <w:rFonts w:cstheme="minorHAnsi"/>
                <w:sz w:val="24"/>
                <w:szCs w:val="24"/>
              </w:rPr>
              <w:t xml:space="preserve">Those individuals could meet with the board separately on occasion to discuss the level of cooperation among their respective departments. </w:t>
            </w:r>
          </w:p>
          <w:p w:rsidR="001D301D" w:rsidRPr="001D301D" w:rsidRDefault="001D301D" w:rsidP="001D301D">
            <w:pPr>
              <w:pStyle w:val="ListParagraph"/>
              <w:numPr>
                <w:ilvl w:val="0"/>
                <w:numId w:val="3"/>
              </w:numPr>
              <w:rPr>
                <w:rFonts w:cstheme="minorHAnsi"/>
                <w:sz w:val="24"/>
                <w:szCs w:val="24"/>
              </w:rPr>
            </w:pPr>
            <w:r w:rsidRPr="001D301D">
              <w:rPr>
                <w:rFonts w:cstheme="minorHAnsi"/>
                <w:sz w:val="24"/>
                <w:szCs w:val="24"/>
              </w:rPr>
              <w:t>Conducting those sessions on a regular basis avoids the suspicions that can arise when they are called only when problems arise.</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Ensure that management and the board have strong processes for identifying risk areas, that management consistently reviews and audits risk areas, and that management develops, implements, and monitors appropriate corrective action plans.</w:t>
            </w:r>
          </w:p>
          <w:p w:rsidR="001D301D" w:rsidRPr="001D301D" w:rsidRDefault="001D301D" w:rsidP="001D301D">
            <w:pPr>
              <w:rPr>
                <w:rFonts w:cstheme="minorHAnsi"/>
                <w:sz w:val="24"/>
                <w:szCs w:val="24"/>
              </w:rPr>
            </w:pPr>
          </w:p>
        </w:tc>
      </w:tr>
      <w:tr w:rsidR="001D301D" w:rsidRPr="001D301D" w:rsidTr="001D301D">
        <w:tc>
          <w:tcPr>
            <w:tcW w:w="1278" w:type="dxa"/>
          </w:tcPr>
          <w:p w:rsidR="001D301D" w:rsidRDefault="001D301D" w:rsidP="001D301D">
            <w:pPr>
              <w:jc w:val="center"/>
              <w:rPr>
                <w:rFonts w:cstheme="minorHAnsi"/>
                <w:sz w:val="24"/>
                <w:szCs w:val="24"/>
              </w:rPr>
            </w:pPr>
          </w:p>
          <w:p w:rsidR="001D301D" w:rsidRPr="001D301D" w:rsidRDefault="001D301D" w:rsidP="001D301D">
            <w:pPr>
              <w:jc w:val="center"/>
              <w:rPr>
                <w:rFonts w:cstheme="minorHAnsi"/>
                <w:sz w:val="24"/>
                <w:szCs w:val="24"/>
              </w:rPr>
            </w:pPr>
            <w:r w:rsidRPr="001D301D">
              <w:rPr>
                <w:rFonts w:cstheme="minorHAnsi"/>
                <w:sz w:val="24"/>
                <w:szCs w:val="24"/>
              </w:rPr>
              <w:t>___</w:t>
            </w:r>
          </w:p>
        </w:tc>
        <w:tc>
          <w:tcPr>
            <w:tcW w:w="8298" w:type="dxa"/>
          </w:tcPr>
          <w:p w:rsidR="001D301D" w:rsidRPr="001D301D" w:rsidRDefault="001D301D" w:rsidP="001D301D">
            <w:pPr>
              <w:rPr>
                <w:rFonts w:cstheme="minorHAnsi"/>
                <w:sz w:val="24"/>
                <w:szCs w:val="24"/>
              </w:rPr>
            </w:pPr>
            <w:r w:rsidRPr="001D301D">
              <w:rPr>
                <w:rFonts w:cstheme="minorHAnsi"/>
                <w:sz w:val="24"/>
                <w:szCs w:val="24"/>
              </w:rPr>
              <w:t xml:space="preserve">Support the concept that compliance is “a way of life” by, for example, requiring that compliance metrics be made a factor in annual performance reviews and incentive programs. </w:t>
            </w:r>
          </w:p>
          <w:p w:rsidR="001D301D" w:rsidRPr="001D301D" w:rsidRDefault="001D301D" w:rsidP="001D301D">
            <w:pPr>
              <w:rPr>
                <w:rFonts w:cstheme="minorHAnsi"/>
                <w:sz w:val="24"/>
                <w:szCs w:val="24"/>
              </w:rPr>
            </w:pPr>
          </w:p>
        </w:tc>
      </w:tr>
    </w:tbl>
    <w:p w:rsidR="007A4A50" w:rsidRPr="001D301D" w:rsidRDefault="007A4A50" w:rsidP="001D301D">
      <w:pPr>
        <w:spacing w:line="240" w:lineRule="auto"/>
        <w:rPr>
          <w:rFonts w:cstheme="minorHAnsi"/>
          <w:szCs w:val="24"/>
        </w:rPr>
      </w:pPr>
    </w:p>
    <w:p w:rsidR="007A4A50" w:rsidRPr="001D301D" w:rsidRDefault="00613351" w:rsidP="00432129">
      <w:pPr>
        <w:pStyle w:val="ListParagraph"/>
        <w:spacing w:line="240" w:lineRule="auto"/>
        <w:ind w:left="0"/>
        <w:rPr>
          <w:rFonts w:cstheme="minorHAnsi"/>
          <w:szCs w:val="24"/>
        </w:rPr>
      </w:pPr>
      <w:r w:rsidRPr="001D301D">
        <w:rPr>
          <w:rFonts w:cstheme="minorHAnsi"/>
          <w:szCs w:val="24"/>
        </w:rPr>
        <w:t xml:space="preserve">The bottom line: </w:t>
      </w:r>
      <w:r w:rsidR="007A4A50" w:rsidRPr="001D301D">
        <w:rPr>
          <w:rFonts w:cstheme="minorHAnsi"/>
          <w:szCs w:val="24"/>
        </w:rPr>
        <w:t>“Every Board is responsible for ensuring that its organization complies with relevant</w:t>
      </w:r>
      <w:r w:rsidR="001D301D" w:rsidRPr="001D301D">
        <w:rPr>
          <w:rFonts w:cstheme="minorHAnsi"/>
          <w:szCs w:val="24"/>
        </w:rPr>
        <w:t xml:space="preserve"> Federal, State, and local laws</w:t>
      </w:r>
      <w:r w:rsidR="007A4A50" w:rsidRPr="001D301D">
        <w:rPr>
          <w:rFonts w:cstheme="minorHAnsi"/>
          <w:szCs w:val="24"/>
        </w:rPr>
        <w:t>.</w:t>
      </w:r>
      <w:r w:rsidR="001D301D">
        <w:rPr>
          <w:rFonts w:cstheme="minorHAnsi"/>
          <w:szCs w:val="24"/>
        </w:rPr>
        <w:t>”</w:t>
      </w:r>
    </w:p>
    <w:p w:rsidR="001D301D" w:rsidRDefault="001D301D" w:rsidP="00432129">
      <w:pPr>
        <w:spacing w:line="240" w:lineRule="auto"/>
        <w:rPr>
          <w:rFonts w:cstheme="minorHAnsi"/>
          <w:i/>
          <w:szCs w:val="24"/>
        </w:rPr>
      </w:pPr>
    </w:p>
    <w:p w:rsidR="001D301D" w:rsidRDefault="001D301D" w:rsidP="00432129">
      <w:pPr>
        <w:spacing w:line="240" w:lineRule="auto"/>
        <w:rPr>
          <w:rFonts w:cstheme="minorHAnsi"/>
          <w:i/>
          <w:szCs w:val="24"/>
        </w:rPr>
      </w:pPr>
    </w:p>
    <w:p w:rsidR="001D301D" w:rsidRDefault="001D301D" w:rsidP="00432129">
      <w:pPr>
        <w:spacing w:line="240" w:lineRule="auto"/>
        <w:rPr>
          <w:rFonts w:cstheme="minorHAnsi"/>
          <w:i/>
          <w:szCs w:val="24"/>
        </w:rPr>
      </w:pPr>
    </w:p>
    <w:p w:rsidR="00333F40" w:rsidRPr="001D301D" w:rsidRDefault="00432129" w:rsidP="00432129">
      <w:pPr>
        <w:spacing w:line="240" w:lineRule="auto"/>
        <w:rPr>
          <w:rFonts w:cstheme="minorHAnsi"/>
          <w:szCs w:val="24"/>
        </w:rPr>
      </w:pPr>
      <w:r w:rsidRPr="001D301D">
        <w:rPr>
          <w:rFonts w:cstheme="minorHAnsi"/>
          <w:i/>
          <w:szCs w:val="24"/>
        </w:rPr>
        <w:t>Source:</w:t>
      </w:r>
      <w:r w:rsidRPr="001D301D">
        <w:rPr>
          <w:rFonts w:cstheme="minorHAnsi"/>
          <w:szCs w:val="24"/>
        </w:rPr>
        <w:t xml:space="preserve"> A</w:t>
      </w:r>
      <w:r w:rsidR="007A4A50" w:rsidRPr="001D301D">
        <w:rPr>
          <w:rFonts w:cstheme="minorHAnsi"/>
          <w:szCs w:val="24"/>
        </w:rPr>
        <w:t>dapted from Office of Inspector General, U.S. Department of Health and Human Services</w:t>
      </w:r>
      <w:r w:rsidR="0069094A" w:rsidRPr="001D301D">
        <w:rPr>
          <w:rFonts w:cstheme="minorHAnsi"/>
          <w:szCs w:val="24"/>
        </w:rPr>
        <w:t>,</w:t>
      </w:r>
      <w:r w:rsidR="007A4A50" w:rsidRPr="001D301D">
        <w:rPr>
          <w:rFonts w:cstheme="minorHAnsi"/>
          <w:szCs w:val="24"/>
        </w:rPr>
        <w:t xml:space="preserve"> Association of Healthcare Internal Auditors</w:t>
      </w:r>
      <w:r w:rsidR="0069094A" w:rsidRPr="001D301D">
        <w:rPr>
          <w:rFonts w:cstheme="minorHAnsi"/>
          <w:szCs w:val="24"/>
        </w:rPr>
        <w:t xml:space="preserve">, </w:t>
      </w:r>
      <w:r w:rsidR="007A4A50" w:rsidRPr="001D301D">
        <w:rPr>
          <w:rFonts w:cstheme="minorHAnsi"/>
          <w:szCs w:val="24"/>
        </w:rPr>
        <w:t>American Health Lawyers Association</w:t>
      </w:r>
      <w:r w:rsidR="0069094A" w:rsidRPr="001D301D">
        <w:rPr>
          <w:rFonts w:cstheme="minorHAnsi"/>
          <w:szCs w:val="24"/>
        </w:rPr>
        <w:t xml:space="preserve">, </w:t>
      </w:r>
      <w:r w:rsidR="007A4A50" w:rsidRPr="001D301D">
        <w:rPr>
          <w:rFonts w:cstheme="minorHAnsi"/>
          <w:szCs w:val="24"/>
        </w:rPr>
        <w:t>and Hea</w:t>
      </w:r>
      <w:r w:rsidR="001D301D">
        <w:rPr>
          <w:rFonts w:cstheme="minorHAnsi"/>
          <w:szCs w:val="24"/>
        </w:rPr>
        <w:t>lth Care Compliance Association,</w:t>
      </w:r>
      <w:r w:rsidR="007A4A50" w:rsidRPr="001D301D">
        <w:rPr>
          <w:rFonts w:cstheme="minorHAnsi"/>
          <w:szCs w:val="24"/>
        </w:rPr>
        <w:t xml:space="preserve"> </w:t>
      </w:r>
      <w:hyperlink r:id="rId9" w:history="1">
        <w:r w:rsidR="007A4A50" w:rsidRPr="001D301D">
          <w:rPr>
            <w:rStyle w:val="Hyperlink"/>
            <w:rFonts w:cstheme="minorHAnsi"/>
            <w:i/>
            <w:szCs w:val="24"/>
          </w:rPr>
          <w:t>Practical Gui</w:t>
        </w:r>
        <w:r w:rsidR="007A4A50" w:rsidRPr="001D301D">
          <w:rPr>
            <w:rStyle w:val="Hyperlink"/>
            <w:rFonts w:cstheme="minorHAnsi"/>
            <w:i/>
            <w:szCs w:val="24"/>
          </w:rPr>
          <w:t>d</w:t>
        </w:r>
        <w:r w:rsidR="007A4A50" w:rsidRPr="001D301D">
          <w:rPr>
            <w:rStyle w:val="Hyperlink"/>
            <w:rFonts w:cstheme="minorHAnsi"/>
            <w:i/>
            <w:szCs w:val="24"/>
          </w:rPr>
          <w:t>ance for Health Care Governing Boards on Compliance Oversight</w:t>
        </w:r>
      </w:hyperlink>
      <w:r w:rsidR="001D301D">
        <w:rPr>
          <w:rFonts w:cstheme="minorHAnsi"/>
          <w:szCs w:val="24"/>
        </w:rPr>
        <w:t>, April 2015</w:t>
      </w:r>
      <w:r w:rsidR="007A4A50" w:rsidRPr="001D301D">
        <w:rPr>
          <w:rFonts w:cstheme="minorHAnsi"/>
          <w:szCs w:val="24"/>
        </w:rPr>
        <w:t>.</w:t>
      </w:r>
    </w:p>
    <w:sectPr w:rsidR="00333F40" w:rsidRPr="001D301D" w:rsidSect="007A4A50">
      <w:headerReference w:type="default" r:id="rId10"/>
      <w:pgSz w:w="12240" w:h="15840"/>
      <w:pgMar w:top="99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01D" w:rsidRDefault="001D301D" w:rsidP="001D301D">
      <w:pPr>
        <w:spacing w:after="0" w:line="240" w:lineRule="auto"/>
      </w:pPr>
      <w:r>
        <w:separator/>
      </w:r>
    </w:p>
  </w:endnote>
  <w:endnote w:type="continuationSeparator" w:id="0">
    <w:p w:rsidR="001D301D" w:rsidRDefault="001D301D" w:rsidP="001D30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01D" w:rsidRDefault="001D301D" w:rsidP="001D301D">
      <w:pPr>
        <w:spacing w:after="0" w:line="240" w:lineRule="auto"/>
      </w:pPr>
      <w:r>
        <w:separator/>
      </w:r>
    </w:p>
  </w:footnote>
  <w:footnote w:type="continuationSeparator" w:id="0">
    <w:p w:rsidR="001D301D" w:rsidRDefault="001D301D" w:rsidP="001D30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01D" w:rsidRPr="001D301D" w:rsidRDefault="001D301D">
    <w:pPr>
      <w:pStyle w:val="Header"/>
      <w:rPr>
        <w:color w:val="595959" w:themeColor="text1" w:themeTint="A6"/>
        <w:sz w:val="18"/>
        <w:szCs w:val="18"/>
      </w:rPr>
    </w:pPr>
    <w:r w:rsidRPr="001D301D">
      <w:rPr>
        <w:color w:val="595959" w:themeColor="text1" w:themeTint="A6"/>
        <w:sz w:val="18"/>
        <w:szCs w:val="18"/>
      </w:rPr>
      <w:t>HFMA Forum Tool (hfma.org/forums)</w:t>
    </w:r>
  </w:p>
  <w:p w:rsidR="001D301D" w:rsidRDefault="001D30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2596D"/>
    <w:multiLevelType w:val="hybridMultilevel"/>
    <w:tmpl w:val="E026D4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714A5C"/>
    <w:multiLevelType w:val="hybridMultilevel"/>
    <w:tmpl w:val="EF040E28"/>
    <w:lvl w:ilvl="0" w:tplc="5CA24EE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A31B68"/>
    <w:multiLevelType w:val="hybridMultilevel"/>
    <w:tmpl w:val="92AE8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424635"/>
    <w:multiLevelType w:val="hybridMultilevel"/>
    <w:tmpl w:val="604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footnotePr>
    <w:footnote w:id="-1"/>
    <w:footnote w:id="0"/>
  </w:footnotePr>
  <w:endnotePr>
    <w:endnote w:id="-1"/>
    <w:endnote w:id="0"/>
  </w:endnotePr>
  <w:compat/>
  <w:rsids>
    <w:rsidRoot w:val="001B343D"/>
    <w:rsid w:val="00026B2C"/>
    <w:rsid w:val="001770A6"/>
    <w:rsid w:val="001B343D"/>
    <w:rsid w:val="001D301D"/>
    <w:rsid w:val="00224C86"/>
    <w:rsid w:val="002E23FE"/>
    <w:rsid w:val="00333F40"/>
    <w:rsid w:val="0039136E"/>
    <w:rsid w:val="003B7A58"/>
    <w:rsid w:val="00432129"/>
    <w:rsid w:val="00482331"/>
    <w:rsid w:val="004A7549"/>
    <w:rsid w:val="00500A7C"/>
    <w:rsid w:val="00512D04"/>
    <w:rsid w:val="00513F42"/>
    <w:rsid w:val="00530260"/>
    <w:rsid w:val="00613351"/>
    <w:rsid w:val="0069094A"/>
    <w:rsid w:val="006D5940"/>
    <w:rsid w:val="00747DAA"/>
    <w:rsid w:val="007A4A50"/>
    <w:rsid w:val="007E7D4F"/>
    <w:rsid w:val="00814D8E"/>
    <w:rsid w:val="00A94130"/>
    <w:rsid w:val="00BB3850"/>
    <w:rsid w:val="00D6743C"/>
    <w:rsid w:val="00D96798"/>
    <w:rsid w:val="00E51B36"/>
    <w:rsid w:val="00EB1919"/>
    <w:rsid w:val="00ED2E62"/>
    <w:rsid w:val="00F04A84"/>
    <w:rsid w:val="00F32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3C"/>
    <w:rPr>
      <w:sz w:val="24"/>
    </w:rPr>
  </w:style>
  <w:style w:type="paragraph" w:styleId="Heading1">
    <w:name w:val="heading 1"/>
    <w:basedOn w:val="Normal"/>
    <w:next w:val="Normal"/>
    <w:link w:val="Heading1Char"/>
    <w:uiPriority w:val="9"/>
    <w:qFormat/>
    <w:rsid w:val="001B3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4A7549"/>
    <w:rPr>
      <w:szCs w:val="24"/>
    </w:rPr>
  </w:style>
  <w:style w:type="paragraph" w:customStyle="1" w:styleId="Style2">
    <w:name w:val="Style2"/>
    <w:basedOn w:val="Normal"/>
    <w:qFormat/>
    <w:rsid w:val="006D5940"/>
  </w:style>
  <w:style w:type="paragraph" w:customStyle="1" w:styleId="Style3">
    <w:name w:val="Style3"/>
    <w:basedOn w:val="Normal"/>
    <w:autoRedefine/>
    <w:qFormat/>
    <w:rsid w:val="006D5940"/>
  </w:style>
  <w:style w:type="paragraph" w:customStyle="1" w:styleId="Style4">
    <w:name w:val="Style4"/>
    <w:basedOn w:val="Style1"/>
    <w:qFormat/>
    <w:rsid w:val="00530260"/>
  </w:style>
  <w:style w:type="table" w:styleId="TableGrid">
    <w:name w:val="Table Grid"/>
    <w:basedOn w:val="TableNormal"/>
    <w:uiPriority w:val="59"/>
    <w:rsid w:val="001B3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B343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B343D"/>
    <w:pPr>
      <w:ind w:left="720"/>
      <w:contextualSpacing/>
    </w:pPr>
  </w:style>
  <w:style w:type="paragraph" w:styleId="BalloonText">
    <w:name w:val="Balloon Text"/>
    <w:basedOn w:val="Normal"/>
    <w:link w:val="BalloonTextChar"/>
    <w:uiPriority w:val="99"/>
    <w:semiHidden/>
    <w:unhideWhenUsed/>
    <w:rsid w:val="0069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94A"/>
    <w:rPr>
      <w:rFonts w:ascii="Tahoma" w:hAnsi="Tahoma" w:cs="Tahoma"/>
      <w:sz w:val="16"/>
      <w:szCs w:val="16"/>
    </w:rPr>
  </w:style>
  <w:style w:type="character" w:styleId="CommentReference">
    <w:name w:val="annotation reference"/>
    <w:basedOn w:val="DefaultParagraphFont"/>
    <w:uiPriority w:val="99"/>
    <w:semiHidden/>
    <w:unhideWhenUsed/>
    <w:rsid w:val="00D96798"/>
    <w:rPr>
      <w:sz w:val="16"/>
      <w:szCs w:val="16"/>
    </w:rPr>
  </w:style>
  <w:style w:type="paragraph" w:styleId="CommentText">
    <w:name w:val="annotation text"/>
    <w:basedOn w:val="Normal"/>
    <w:link w:val="CommentTextChar"/>
    <w:uiPriority w:val="99"/>
    <w:semiHidden/>
    <w:unhideWhenUsed/>
    <w:rsid w:val="00D96798"/>
    <w:pPr>
      <w:spacing w:line="240" w:lineRule="auto"/>
    </w:pPr>
    <w:rPr>
      <w:sz w:val="20"/>
      <w:szCs w:val="20"/>
    </w:rPr>
  </w:style>
  <w:style w:type="character" w:customStyle="1" w:styleId="CommentTextChar">
    <w:name w:val="Comment Text Char"/>
    <w:basedOn w:val="DefaultParagraphFont"/>
    <w:link w:val="CommentText"/>
    <w:uiPriority w:val="99"/>
    <w:semiHidden/>
    <w:rsid w:val="00D96798"/>
    <w:rPr>
      <w:sz w:val="20"/>
      <w:szCs w:val="20"/>
    </w:rPr>
  </w:style>
  <w:style w:type="paragraph" w:styleId="CommentSubject">
    <w:name w:val="annotation subject"/>
    <w:basedOn w:val="CommentText"/>
    <w:next w:val="CommentText"/>
    <w:link w:val="CommentSubjectChar"/>
    <w:uiPriority w:val="99"/>
    <w:semiHidden/>
    <w:unhideWhenUsed/>
    <w:rsid w:val="00D96798"/>
    <w:rPr>
      <w:b/>
      <w:bCs/>
    </w:rPr>
  </w:style>
  <w:style w:type="character" w:customStyle="1" w:styleId="CommentSubjectChar">
    <w:name w:val="Comment Subject Char"/>
    <w:basedOn w:val="CommentTextChar"/>
    <w:link w:val="CommentSubject"/>
    <w:uiPriority w:val="99"/>
    <w:semiHidden/>
    <w:rsid w:val="00D96798"/>
    <w:rPr>
      <w:b/>
      <w:bCs/>
      <w:sz w:val="20"/>
      <w:szCs w:val="20"/>
    </w:rPr>
  </w:style>
  <w:style w:type="character" w:styleId="Hyperlink">
    <w:name w:val="Hyperlink"/>
    <w:basedOn w:val="DefaultParagraphFont"/>
    <w:uiPriority w:val="99"/>
    <w:unhideWhenUsed/>
    <w:rsid w:val="00482331"/>
    <w:rPr>
      <w:color w:val="0000FF" w:themeColor="hyperlink"/>
      <w:u w:val="single"/>
    </w:rPr>
  </w:style>
  <w:style w:type="paragraph" w:styleId="Header">
    <w:name w:val="header"/>
    <w:basedOn w:val="Normal"/>
    <w:link w:val="HeaderChar"/>
    <w:uiPriority w:val="99"/>
    <w:semiHidden/>
    <w:unhideWhenUsed/>
    <w:rsid w:val="001D30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01D"/>
    <w:rPr>
      <w:sz w:val="24"/>
    </w:rPr>
  </w:style>
  <w:style w:type="paragraph" w:styleId="Footer">
    <w:name w:val="footer"/>
    <w:basedOn w:val="Normal"/>
    <w:link w:val="FooterChar"/>
    <w:uiPriority w:val="99"/>
    <w:semiHidden/>
    <w:unhideWhenUsed/>
    <w:rsid w:val="001D30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301D"/>
    <w:rPr>
      <w:sz w:val="24"/>
    </w:rPr>
  </w:style>
  <w:style w:type="character" w:styleId="FollowedHyperlink">
    <w:name w:val="FollowedHyperlink"/>
    <w:basedOn w:val="DefaultParagraphFont"/>
    <w:uiPriority w:val="99"/>
    <w:semiHidden/>
    <w:unhideWhenUsed/>
    <w:rsid w:val="001D30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3C"/>
    <w:rPr>
      <w:sz w:val="24"/>
    </w:rPr>
  </w:style>
  <w:style w:type="paragraph" w:styleId="Heading1">
    <w:name w:val="heading 1"/>
    <w:basedOn w:val="Normal"/>
    <w:next w:val="Normal"/>
    <w:link w:val="Heading1Char"/>
    <w:uiPriority w:val="9"/>
    <w:qFormat/>
    <w:rsid w:val="001B34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4A7549"/>
    <w:rPr>
      <w:szCs w:val="24"/>
    </w:rPr>
  </w:style>
  <w:style w:type="paragraph" w:customStyle="1" w:styleId="Style2">
    <w:name w:val="Style2"/>
    <w:basedOn w:val="Normal"/>
    <w:qFormat/>
    <w:rsid w:val="006D5940"/>
  </w:style>
  <w:style w:type="paragraph" w:customStyle="1" w:styleId="Style3">
    <w:name w:val="Style3"/>
    <w:basedOn w:val="Normal"/>
    <w:autoRedefine/>
    <w:qFormat/>
    <w:rsid w:val="006D5940"/>
  </w:style>
  <w:style w:type="paragraph" w:customStyle="1" w:styleId="Style4">
    <w:name w:val="Style4"/>
    <w:basedOn w:val="Style1"/>
    <w:qFormat/>
    <w:rsid w:val="00530260"/>
  </w:style>
  <w:style w:type="table" w:styleId="TableGrid">
    <w:name w:val="Table Grid"/>
    <w:basedOn w:val="TableNormal"/>
    <w:uiPriority w:val="59"/>
    <w:rsid w:val="001B3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343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B343D"/>
    <w:pPr>
      <w:ind w:left="720"/>
      <w:contextualSpacing/>
    </w:pPr>
  </w:style>
  <w:style w:type="paragraph" w:styleId="BalloonText">
    <w:name w:val="Balloon Text"/>
    <w:basedOn w:val="Normal"/>
    <w:link w:val="BalloonTextChar"/>
    <w:uiPriority w:val="99"/>
    <w:semiHidden/>
    <w:unhideWhenUsed/>
    <w:rsid w:val="00690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94A"/>
    <w:rPr>
      <w:rFonts w:ascii="Tahoma" w:hAnsi="Tahoma" w:cs="Tahoma"/>
      <w:sz w:val="16"/>
      <w:szCs w:val="16"/>
    </w:rPr>
  </w:style>
  <w:style w:type="character" w:styleId="CommentReference">
    <w:name w:val="annotation reference"/>
    <w:basedOn w:val="DefaultParagraphFont"/>
    <w:uiPriority w:val="99"/>
    <w:semiHidden/>
    <w:unhideWhenUsed/>
    <w:rsid w:val="00D96798"/>
    <w:rPr>
      <w:sz w:val="16"/>
      <w:szCs w:val="16"/>
    </w:rPr>
  </w:style>
  <w:style w:type="paragraph" w:styleId="CommentText">
    <w:name w:val="annotation text"/>
    <w:basedOn w:val="Normal"/>
    <w:link w:val="CommentTextChar"/>
    <w:uiPriority w:val="99"/>
    <w:semiHidden/>
    <w:unhideWhenUsed/>
    <w:rsid w:val="00D96798"/>
    <w:pPr>
      <w:spacing w:line="240" w:lineRule="auto"/>
    </w:pPr>
    <w:rPr>
      <w:sz w:val="20"/>
      <w:szCs w:val="20"/>
    </w:rPr>
  </w:style>
  <w:style w:type="character" w:customStyle="1" w:styleId="CommentTextChar">
    <w:name w:val="Comment Text Char"/>
    <w:basedOn w:val="DefaultParagraphFont"/>
    <w:link w:val="CommentText"/>
    <w:uiPriority w:val="99"/>
    <w:semiHidden/>
    <w:rsid w:val="00D96798"/>
    <w:rPr>
      <w:sz w:val="20"/>
      <w:szCs w:val="20"/>
    </w:rPr>
  </w:style>
  <w:style w:type="paragraph" w:styleId="CommentSubject">
    <w:name w:val="annotation subject"/>
    <w:basedOn w:val="CommentText"/>
    <w:next w:val="CommentText"/>
    <w:link w:val="CommentSubjectChar"/>
    <w:uiPriority w:val="99"/>
    <w:semiHidden/>
    <w:unhideWhenUsed/>
    <w:rsid w:val="00D96798"/>
    <w:rPr>
      <w:b/>
      <w:bCs/>
    </w:rPr>
  </w:style>
  <w:style w:type="character" w:customStyle="1" w:styleId="CommentSubjectChar">
    <w:name w:val="Comment Subject Char"/>
    <w:basedOn w:val="CommentTextChar"/>
    <w:link w:val="CommentSubject"/>
    <w:uiPriority w:val="99"/>
    <w:semiHidden/>
    <w:rsid w:val="00D96798"/>
    <w:rPr>
      <w:b/>
      <w:bCs/>
      <w:sz w:val="20"/>
      <w:szCs w:val="20"/>
    </w:rPr>
  </w:style>
  <w:style w:type="character" w:styleId="Hyperlink">
    <w:name w:val="Hyperlink"/>
    <w:basedOn w:val="DefaultParagraphFont"/>
    <w:uiPriority w:val="99"/>
    <w:unhideWhenUsed/>
    <w:rsid w:val="0048233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oig.hhs.gov/compli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ig.hhs.gov/newsroom/news-releases/2015/guidance-release201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HFMA</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mvandyke</cp:lastModifiedBy>
  <cp:revision>4</cp:revision>
  <dcterms:created xsi:type="dcterms:W3CDTF">2015-05-13T16:09:00Z</dcterms:created>
  <dcterms:modified xsi:type="dcterms:W3CDTF">2015-05-14T22:02:00Z</dcterms:modified>
</cp:coreProperties>
</file>